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Norrtälje kommunfullmäktige</w:t>
      </w:r>
    </w:p>
    <w:p>
      <w:pPr>
        <w:pStyle w:val="Heading1"/>
      </w:pPr>
      <w:r>
        <w:t xml:space="preserve">Bygga säkra cykelvägar längs Roslagsvägen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Cykelpendling till Stockholm ökar men saknar säkra sträckor enligt Trafikverkets mätningar 2024. Klimat- och hälsovinst väntas.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cykelväg längs Roslagsvägen etapp 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budgetmedel avsätts i investeringsplanen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samråd med cyklister och näringsliv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 om ökad cykelandel sätts till 15 % 2030.</w:t>
      </w:r>
    </w:p>
    <w:p>
      <w:pPr>
        <w:spacing w:before="360"/>
      </w:pPr>
    </w:p>
    <w:p>
      <w:r>
        <w:t xml:space="preserve">Norrtälje,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2026-07-14T04:43:17.609Z</dcterms:created>
  <dcterms:modified xsi:type="dcterms:W3CDTF">2026-07-14T04:43:17.609Z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